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7910AD6A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proofErr w:type="spellStart"/>
      <w:r w:rsidR="00204786">
        <w:rPr>
          <w:rFonts w:ascii="Century Gothic" w:hAnsi="Century Gothic" w:cs="Times New Roman"/>
          <w:b/>
          <w:bCs/>
          <w:sz w:val="28"/>
          <w:szCs w:val="28"/>
        </w:rPr>
        <w:t>oprogramowań</w:t>
      </w:r>
      <w:proofErr w:type="spellEnd"/>
    </w:p>
    <w:p w14:paraId="70E8B4FA" w14:textId="3CDDB48D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proofErr w:type="spellStart"/>
      <w:r w:rsidR="0020478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oprogramowań</w:t>
      </w:r>
      <w:proofErr w:type="spellEnd"/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umieszczono poniżej Tabela – Zestawienie minimalnych parametrów </w:t>
      </w:r>
      <w:proofErr w:type="spellStart"/>
      <w:r w:rsidR="0020478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oprogramowań</w:t>
      </w:r>
      <w:proofErr w:type="spellEnd"/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3B93DDA6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proofErr w:type="spellStart"/>
      <w:r w:rsidR="0020478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oprogramowań</w:t>
      </w:r>
      <w:proofErr w:type="spellEnd"/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204786">
        <w:trPr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04E3D5D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 xml:space="preserve">Parametry oferowanego </w:t>
            </w:r>
            <w:r w:rsidR="00C8480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oprogramowania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204786" w:rsidRPr="00B03689" w14:paraId="75F4C767" w14:textId="77777777" w:rsidTr="004407FE">
        <w:trPr>
          <w:trHeight w:val="20"/>
        </w:trPr>
        <w:tc>
          <w:tcPr>
            <w:tcW w:w="13959" w:type="dxa"/>
            <w:gridSpan w:val="3"/>
          </w:tcPr>
          <w:p w14:paraId="50CD7B01" w14:textId="4EE584D3" w:rsidR="00204786" w:rsidRPr="00204786" w:rsidRDefault="00204786" w:rsidP="00204786">
            <w:pPr>
              <w:shd w:val="clear" w:color="auto" w:fill="FFFFFF"/>
              <w:spacing w:before="120" w:after="120"/>
              <w:jc w:val="both"/>
              <w:rPr>
                <w:rFonts w:ascii="Century Gothic" w:eastAsia="Times New Roman" w:hAnsi="Century Gothic" w:cs="Arial"/>
                <w:b/>
                <w:lang w:eastAsia="pl-PL"/>
              </w:rPr>
            </w:pPr>
            <w:r w:rsidRPr="00204786">
              <w:rPr>
                <w:rFonts w:ascii="Century Gothic" w:eastAsia="Times New Roman" w:hAnsi="Century Gothic" w:cs="Arial"/>
                <w:b/>
                <w:lang w:eastAsia="pl-PL"/>
              </w:rPr>
              <w:t xml:space="preserve">CZĘŚĆ 1 </w:t>
            </w:r>
          </w:p>
        </w:tc>
      </w:tr>
      <w:tr w:rsidR="00204786" w:rsidRPr="00B03689" w14:paraId="4DE39A71" w14:textId="77777777" w:rsidTr="00204786">
        <w:trPr>
          <w:trHeight w:val="20"/>
        </w:trPr>
        <w:tc>
          <w:tcPr>
            <w:tcW w:w="956" w:type="dxa"/>
          </w:tcPr>
          <w:p w14:paraId="02B4C241" w14:textId="463224A9" w:rsidR="00204786" w:rsidRPr="00B03689" w:rsidRDefault="00204786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</w:tcPr>
          <w:p w14:paraId="2EAD2A42" w14:textId="77777777" w:rsidR="00204786" w:rsidRDefault="00204786" w:rsidP="00204786">
            <w:pPr>
              <w:shd w:val="clear" w:color="auto" w:fill="FFFFFF"/>
              <w:spacing w:after="60"/>
              <w:rPr>
                <w:rFonts w:ascii="Century Gothic" w:eastAsia="Times New Roman" w:hAnsi="Century Gothic" w:cs="Arial"/>
                <w:b/>
                <w:bCs/>
                <w:color w:val="000000" w:themeColor="text1"/>
                <w:kern w:val="2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2"/>
                <w:szCs w:val="22"/>
                <w:u w:val="single"/>
                <w:lang w:eastAsia="pl-PL"/>
              </w:rPr>
              <w:t>Licencja wieczysta oprogramowania do modelowania konstrukcji parametrycznych przestrzennych 3D wraz z dostępem do aktualizacji oprogramowania i pomocy technicznej oraz materiałów szkoleniowych (</w:t>
            </w:r>
            <w:proofErr w:type="spellStart"/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2"/>
                <w:szCs w:val="22"/>
                <w:u w:val="single"/>
                <w:lang w:eastAsia="pl-PL"/>
              </w:rPr>
              <w:t>ProStructures</w:t>
            </w:r>
            <w:proofErr w:type="spellEnd"/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wraz z subskrypcją)</w:t>
            </w:r>
          </w:p>
          <w:p w14:paraId="443AFE2B" w14:textId="77777777" w:rsidR="00204786" w:rsidRDefault="00204786" w:rsidP="0020478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ProStructures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musi zawierać dwa moduły: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ProSteel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do projektowania konstrukcji stalowych oraz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ProConcrete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do projektowania konstrukcji żelbetowych. Wszystkie te produkty muszą zawierać funkcjonalność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MicroStation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63597D5" w14:textId="77777777" w:rsidR="00204786" w:rsidRDefault="00204786" w:rsidP="0020478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Oprogramowanie musi umożliwiać:</w:t>
            </w:r>
          </w:p>
          <w:p w14:paraId="710E828B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wykonywanie modeli 3D konstrukcji zarówno stalowych jak i żelbetowych oraz ich detalowanie,</w:t>
            </w:r>
          </w:p>
          <w:p w14:paraId="54B3093A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korzystanie z bibliotek zawierających profile stworzone w oparciu o normy narodowe (w tym również polskie), a także  umożliwiać użytkownikowi łatwe dodawanie własnych profili, edytować istniejące oraz zarządzać bazami danych profili,</w:t>
            </w:r>
          </w:p>
          <w:p w14:paraId="7375E449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>korzystanie z międzynarodowych normowych bibliotek prętów zbrojeniowych oraz narzędzi do modyfikacji prętów zbrojeniowych – własne style i szablony,</w:t>
            </w:r>
          </w:p>
          <w:p w14:paraId="0CC3CC25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 xml:space="preserve">korzystanie z automatycznych połączeń elementów konstrukcji stalowych oraz samodzielne, szczegółowe zdefiniowanie parametrów nowych połączeń, bądź skorzystanie z bazy predefiniowanych połączeń (według DIN bądź </w:t>
            </w:r>
            <w:proofErr w:type="spellStart"/>
            <w:r>
              <w:rPr>
                <w:rFonts w:ascii="Century Gothic" w:eastAsia="Times New Roman" w:hAnsi="Century Gothic"/>
                <w:sz w:val="20"/>
                <w:szCs w:val="20"/>
              </w:rPr>
              <w:t>Eurocode</w:t>
            </w:r>
            <w:proofErr w:type="spellEnd"/>
            <w:r>
              <w:rPr>
                <w:rFonts w:ascii="Century Gothic" w:eastAsia="Times New Roman" w:hAnsi="Century Gothic"/>
                <w:sz w:val="20"/>
                <w:szCs w:val="20"/>
              </w:rPr>
              <w:t>), a także pozwalające na edytowanie istniejącego połączenia, klonowanie jego cechy na inne połączenia tego samego typu,</w:t>
            </w:r>
          </w:p>
          <w:p w14:paraId="4E7B523A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modelowanie konstrukcji parametrycznych stalowych i żelbetowych, czyli z automatyczną aktualizacją połączeń przy zmianach rozmiarów łączonych elementów konstrukcji,</w:t>
            </w:r>
          </w:p>
          <w:p w14:paraId="6C0E4A0B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zdefiniowanie połączenia, które może być zapisane do menedżera szablonów i wielokrotnie wykorzystywane w przyszłości w innych projektach,</w:t>
            </w:r>
          </w:p>
          <w:p w14:paraId="7B3B7311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projektowanie i automatyczne tworzenie rysunków detali i planów zbrojenia wraz z pełną specyfikacją materiałową oraz planami ułożenia zbrojeń, przez co zyskuje się łatwy dostęp do cennych informacji potrzebnych do wyceny i analizy projektu,</w:t>
            </w:r>
          </w:p>
          <w:p w14:paraId="32BA42BF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ułatwione modelowanie i detalowanie takich elementów jak klatki schodowe, balustrady, schody spiralne, drabiny, stężenia, ramy, okładziny ścienne, połączenia płatwi, kratownice, platformy prostokątne i okrągłe, fasady, podesty,</w:t>
            </w:r>
          </w:p>
          <w:p w14:paraId="2E9F5EB2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modelowanie dowolnych konstrukcji żelbetowych, prefabrykatów lub konstrukcji monolitycznych, obiektów inżynierii bądź budynków,</w:t>
            </w:r>
          </w:p>
          <w:p w14:paraId="3300AD2E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automatyczne tworzenie rysunków 2D na podstawie modelu 3D,</w:t>
            </w:r>
          </w:p>
          <w:p w14:paraId="3C00815F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generowanie przekrojów, rzutów, detali, zestawień prętów zbrojeniowych oraz danych NC i PPS,</w:t>
            </w:r>
          </w:p>
          <w:p w14:paraId="7A6FF42C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integrację z innymi produktami firmy Bentley oraz produktami innych firm,</w:t>
            </w:r>
          </w:p>
          <w:p w14:paraId="33F733F2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pracę na plikach DGN oraz DWG jak i obsługa plików IFC,</w:t>
            </w:r>
          </w:p>
          <w:p w14:paraId="2D909D69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ustawienia specyfikacji tak aby generować dokumenty zgodne z wymaganiami firmy produkującej dane elementy,</w:t>
            </w:r>
          </w:p>
          <w:p w14:paraId="1FF39E76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modelowanie konstrukcji żelbetowych wraz z automatyczną aktualizują prętów zbrojeniowych przy zmianie kształtu elementu betonowego,</w:t>
            </w:r>
          </w:p>
          <w:p w14:paraId="6012DC1F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generowanie i-modelu z datą ważności, tak aby inżynier na budowie zawsze korzystał z aktualnego modelu,</w:t>
            </w:r>
          </w:p>
          <w:p w14:paraId="4E93877F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hd w:val="clear" w:color="auto" w:fill="FFFFFF"/>
              <w:suppressAutoHyphens w:val="0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możliwość projektowania konstrukcji z wykorzystaniem modeli fotogrametrycznych, dzięki czemu można dostosować projekt do rzeczywistego wyglądu terenu na obiekcie,</w:t>
            </w:r>
          </w:p>
          <w:p w14:paraId="0CC2051B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pracę z chmurami punktów oraz rastrami,</w:t>
            </w:r>
          </w:p>
          <w:p w14:paraId="0A4A9ADA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automatyczne tworzenie i generowanie konstrukcyjnej dokumentacji rysunkowej w zakresie projektu budowlanego, wykonawczego i warsztatowego, zestawień materiałów oraz specyfikacji materiałowych,</w:t>
            </w:r>
          </w:p>
          <w:p w14:paraId="6B235FF4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automatyczne tworzenie dokumentacji wykonawczej w oparciu o definiowane standardy projektowe użytkownika (bazy danych powinny posiadać otwartą architekturę żeby można było dostosowywać do własnych potrzeb),</w:t>
            </w:r>
          </w:p>
          <w:p w14:paraId="47250DC6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lastRenderedPageBreak/>
              <w:t>zarządzanie zmianami i poprawkami modelu 3d konstrukcji za pomocą zautomatyzowanych oznaczeń rysunków,</w:t>
            </w:r>
          </w:p>
          <w:p w14:paraId="738E41C3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śledzenie zmian projektu konstrukcyjnego z uwzględnieniem opisów i czasu oraz cofanie wybranych zmian w dowolnej chwili podczas realizowania projektu,</w:t>
            </w:r>
          </w:p>
          <w:p w14:paraId="337DD811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eksport danych w takich formatach jak: PDF, RTF, HTML, itd.</w:t>
            </w:r>
          </w:p>
          <w:p w14:paraId="7DD6D253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3"/>
              </w:numPr>
              <w:suppressAutoHyphens w:val="0"/>
              <w:rPr>
                <w:rFonts w:ascii="Century Gothic" w:eastAsia="Times New Roman" w:hAnsi="Century Gothic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sz w:val="20"/>
                <w:szCs w:val="20"/>
              </w:rPr>
              <w:t>przygotowywanie kodów dla obrabiarek stosowanych w produkcji prefabrykatów.</w:t>
            </w:r>
          </w:p>
          <w:p w14:paraId="354FA54D" w14:textId="77777777" w:rsidR="00204786" w:rsidRDefault="00204786" w:rsidP="0020478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  <w:p w14:paraId="4B854B38" w14:textId="77777777" w:rsidR="00204786" w:rsidRDefault="00204786" w:rsidP="00204786">
            <w:pPr>
              <w:widowControl/>
              <w:suppressAutoHyphens w:val="0"/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  <w:t xml:space="preserve">Licencja powinna umożliwiać korzystanie z oprogramowania bezterminowo. Dodatkowo Wykonawca zapewni możliwość wielokrotnej bezpłatnej aktualizacji oprogramowania do nowszych wersji oraz bezpłatne materiały szkoleniowe oraz bezpłatne wsparcie techniczne świadczone przez osoby posiadające wiedzę w zakresie oprogramowania stanowiącego przedmiot zamówienia przez okres minimum jednego roku – począwszy od dnia dostawy. </w:t>
            </w:r>
          </w:p>
          <w:p w14:paraId="53A391CA" w14:textId="77777777" w:rsidR="00204786" w:rsidRDefault="00204786" w:rsidP="00204786">
            <w:pPr>
              <w:widowControl/>
              <w:suppressAutoHyphens w:val="0"/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</w:pPr>
          </w:p>
          <w:p w14:paraId="451CC22E" w14:textId="77777777" w:rsidR="00204786" w:rsidRDefault="00204786" w:rsidP="00204786">
            <w:pPr>
              <w:widowControl/>
              <w:suppressAutoHyphens w:val="0"/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  <w:t>Oprogramowanie zostanie dostarczone na nośniku CD lub DVD lub nośniku USB lub w postaci klucza licencyjnego tj. danych zapewniających pobranie oprogramowania ze strony internetowej wskazanej przez Wykonawcę.</w:t>
            </w:r>
          </w:p>
          <w:p w14:paraId="6B8CE132" w14:textId="77777777" w:rsidR="00204786" w:rsidRDefault="00204786" w:rsidP="00797C07">
            <w:pP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1843" w:type="dxa"/>
          </w:tcPr>
          <w:p w14:paraId="03FD9651" w14:textId="77777777" w:rsidR="00204786" w:rsidRPr="00B03689" w:rsidRDefault="00204786" w:rsidP="0020478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327C5EDE" w14:textId="77777777" w:rsidR="00204786" w:rsidRPr="00B03689" w:rsidRDefault="00204786" w:rsidP="0020478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8504263" w14:textId="77777777" w:rsidR="00204786" w:rsidRPr="00B03689" w:rsidRDefault="00204786" w:rsidP="0020478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6A8341B" w14:textId="6A0FC4B3" w:rsidR="00204786" w:rsidRPr="00B03689" w:rsidRDefault="00204786" w:rsidP="0020478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204786" w:rsidRPr="00B03689" w14:paraId="3FDF04E0" w14:textId="77777777" w:rsidTr="00067DA2">
        <w:trPr>
          <w:trHeight w:val="20"/>
        </w:trPr>
        <w:tc>
          <w:tcPr>
            <w:tcW w:w="13959" w:type="dxa"/>
            <w:gridSpan w:val="3"/>
          </w:tcPr>
          <w:p w14:paraId="5DA28BEE" w14:textId="754DD6B0" w:rsidR="00204786" w:rsidRPr="00204786" w:rsidRDefault="00204786" w:rsidP="00204786">
            <w:pPr>
              <w:shd w:val="clear" w:color="auto" w:fill="FFFFFF"/>
              <w:spacing w:before="120" w:after="120"/>
              <w:jc w:val="both"/>
              <w:rPr>
                <w:rFonts w:ascii="Century Gothic" w:eastAsia="Times New Roman" w:hAnsi="Century Gothic" w:cs="Arial"/>
                <w:b/>
                <w:lang w:eastAsia="pl-PL"/>
              </w:rPr>
            </w:pPr>
            <w:r w:rsidRPr="00204786">
              <w:rPr>
                <w:rFonts w:ascii="Century Gothic" w:eastAsia="Times New Roman" w:hAnsi="Century Gothic" w:cs="Arial"/>
                <w:b/>
                <w:lang w:eastAsia="pl-PL"/>
              </w:rPr>
              <w:lastRenderedPageBreak/>
              <w:t>CZĘŚĆ 2</w:t>
            </w:r>
          </w:p>
        </w:tc>
      </w:tr>
      <w:tr w:rsidR="00204786" w:rsidRPr="00B03689" w14:paraId="0D09651D" w14:textId="77777777" w:rsidTr="00204786">
        <w:trPr>
          <w:trHeight w:val="20"/>
        </w:trPr>
        <w:tc>
          <w:tcPr>
            <w:tcW w:w="956" w:type="dxa"/>
          </w:tcPr>
          <w:p w14:paraId="530BA64F" w14:textId="0CB531A7" w:rsidR="00204786" w:rsidRPr="00B03689" w:rsidRDefault="00204786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</w:tcPr>
          <w:p w14:paraId="71FC5581" w14:textId="77777777" w:rsidR="00204786" w:rsidRDefault="00204786" w:rsidP="0020478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 xml:space="preserve">Licencja wieczysta oprogramowania do obliczeń statyczno-wytrzymałościowych konstrukcji dźwigarów </w:t>
            </w:r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2"/>
                <w:szCs w:val="22"/>
                <w:u w:val="single"/>
                <w:lang w:eastAsia="pl-PL"/>
              </w:rPr>
              <w:t>żelbetowych i sprężonych oraz detali związanych z ich projektowaniem wraz z dostępem do aktualizacji oprogramowania i pomocy technicznej oraz materiałów szkoleniowych (</w:t>
            </w:r>
            <w:proofErr w:type="spellStart"/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2"/>
                <w:szCs w:val="22"/>
                <w:u w:val="single"/>
                <w:lang w:eastAsia="pl-PL"/>
              </w:rPr>
              <w:t>Frilo</w:t>
            </w:r>
            <w:proofErr w:type="spellEnd"/>
            <w:r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w zakresie modułów: B8 Dźwigar sprężony, B9+ Wspornik żelbetowy i B10 Belka podcięta wraz z subskrypcją)</w:t>
            </w:r>
          </w:p>
          <w:p w14:paraId="78693311" w14:textId="77777777" w:rsidR="00204786" w:rsidRDefault="00204786" w:rsidP="0020478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</w:p>
          <w:p w14:paraId="76D90118" w14:textId="77777777" w:rsidR="00204786" w:rsidRDefault="00204786" w:rsidP="0020478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Oprogramowanie musi zawierać moduły lub składać się z niezależnych modułów: B8 Dźwigar sprężony, B9+ Wspornik żelbetowy i B10 Belka podcięta.</w:t>
            </w:r>
          </w:p>
          <w:p w14:paraId="7E0BE189" w14:textId="77777777" w:rsidR="00204786" w:rsidRDefault="00204786" w:rsidP="0020478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Oprogramowanie musi umożliwiać:</w:t>
            </w:r>
          </w:p>
          <w:p w14:paraId="28D853A9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-Bold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-Bold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B8 Dźwigar sprężony:</w:t>
            </w:r>
          </w:p>
          <w:p w14:paraId="0E0E3CDC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obliczenia dźwigarów żelbetowych i sprężonych w torze naciągowym z jednoczesnym zespoleniem, a w tym przeprowadzanie wszystkich niezbędnych weryfikacji nośności SGN (również dla wyjątkowych i sejsmicznych oddziaływań), a także weryfikacji SGU,</w:t>
            </w:r>
          </w:p>
          <w:p w14:paraId="53417BD1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wprowadzanie danych w sposób przejrzysty na kilku stronach danych wejściowych i z możliwością wsparcia przez teksty pomocy, które zawierają dozwolone lub wymagane wartości, a także kontrole poprawności danych.</w:t>
            </w:r>
          </w:p>
          <w:p w14:paraId="1237EE19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obliczenia konstrukcyjne wg norm DIN EN 1992-1-1/NA, NA to BS EN 1992-1-1, EN 1992-1-1, PN EN 1992-1-1/NA, ÖNORM B 1992-1-1,</w:t>
            </w:r>
          </w:p>
          <w:p w14:paraId="06B60183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lastRenderedPageBreak/>
              <w:t>zadawanie i obliczenia kształtu dźwigarów o pasach równoległych, symetryczne i niesymetryczne z siodłem lub z odwrotnym siodłem oraz wiązarów dachów jednospadowych,</w:t>
            </w:r>
          </w:p>
          <w:p w14:paraId="0F64BC8F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oprócz obliczenia całego systemu dźwigarów również obliczenia poszczególnych przekrojów,</w:t>
            </w:r>
          </w:p>
          <w:p w14:paraId="26A275BE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zadawanie i obliczenia przekrojów prostokątnych, belki płytowej i podwójnej belki płytowej ale również w tzw. przekroju poprzecznym warstw zdefiniowanie dowolnego kompaktowego przekroju poprzecznego pojedynczego lub podwójnego symetrycznie,</w:t>
            </w:r>
          </w:p>
          <w:p w14:paraId="418BD1EA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zadawanie i obliczenia przekrojów poprzecznych bez </w:t>
            </w:r>
            <w:proofErr w:type="spellStart"/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nadbetonu</w:t>
            </w:r>
            <w:proofErr w:type="spellEnd"/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lub z </w:t>
            </w:r>
            <w:proofErr w:type="spellStart"/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nadbetonem</w:t>
            </w:r>
            <w:proofErr w:type="spellEnd"/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w postaci płyty masywnej, płyty masywnej z szalunkiem prefabrykowanym lub uzupełnienie z dodatkowymi warstwami</w:t>
            </w:r>
          </w:p>
          <w:p w14:paraId="2C00DA52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definiowanie i obliczenia powiększonego przekroju poprzecznego łożyska dla obszaru podparcia na końcu dźwigara,</w:t>
            </w:r>
          </w:p>
          <w:p w14:paraId="37C44D3D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-Bold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definiowanie i obliczenia dźwigarów o różnych schematach statycznych: jednoprzęsłowym lub jednoprzęsłowym ze wspornikami a także uwzględnienie schematu specjalnego dla stanu montażowego.</w:t>
            </w:r>
          </w:p>
          <w:p w14:paraId="00D3E1A6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-Bold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automatyczne uwzględnianie w obliczeniach układów statycznych wynikających z podparcia pomocniczego podczas betonowania </w:t>
            </w:r>
            <w:proofErr w:type="spellStart"/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nadbetonu</w:t>
            </w:r>
            <w:proofErr w:type="spellEnd"/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,</w:t>
            </w:r>
          </w:p>
          <w:p w14:paraId="5B845187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definiowanie obciążeń stałych pionowych i dodatkowych stałych i zmiennych jako: równomiernie rozłożone obciążenia liniowe, skupione obciążenia i momenty, obciążenia trapezowe i trójkątne a także rozpatrywanie obciążeń zmiennych w różnych kombinacjach,</w:t>
            </w:r>
          </w:p>
          <w:p w14:paraId="7E389908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automatyczne uwzględnianie w obliczeniach dźwigara ciężaru własnego, w tym </w:t>
            </w:r>
            <w:proofErr w:type="spellStart"/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nadbetonu</w:t>
            </w:r>
            <w:proofErr w:type="spellEnd"/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,</w:t>
            </w:r>
          </w:p>
          <w:p w14:paraId="5C53D046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definiowanie i obliczenia wielowarstwowego zbrojenia sprężającego z jednoczesnym zespoleniem i izolacjami oraz wielowarstwowego zbrojenia wolnego zakładającego prosty przebieg zbrojenia równoległy do pasa górnego lub dolnego,</w:t>
            </w:r>
          </w:p>
          <w:p w14:paraId="1669FDC0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uwzględnianie wymagań dotyczących trwałości poprzez połączenie wszystkich decydujących klas ekspozycji służące do określenia: minimalnej klasy betonu, minimalnej otuliny betonem, dopuszczalnej szerokości rozwarcia rysy, wymogu analizy dekompresji. Podanie wyników oddzielnie dla góry i dołu dźwigara. Uwzględnianie specjalnych właściwości, takich jak beton napowietrzony, dodatek na ścieranie, zmniejszenie wymiaru przy prefabrykatach itp.</w:t>
            </w:r>
          </w:p>
          <w:p w14:paraId="7B386CF0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weryfikację stanów granicznych nośności </w:t>
            </w: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(SGN) w zakresie: nośności na zginanie z siłą podłużną, nośności na ścinanie z dodatkiem betonu wylewanego na miejscu, w tym nośność połączeń, utraty stateczności, wyznaczania zbrojenia na rozłupywanie, zakotwienie zbrojenia sprężającego,</w:t>
            </w:r>
          </w:p>
          <w:p w14:paraId="3EB82A40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weryfikację stanów granicznych użytkowalności (SGU) w następującym zakresie: n</w:t>
            </w: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 xml:space="preserve">aprężenia w betonie, naprężenia w stali (stal sprężająca, stal zbrojeniowa), szerokości rozwarcia rysy (obciążenie, minimalne zbrojenie), weryfikacji dekompresji, jeśli jest wymagana, ugięcia </w:t>
            </w: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dla wybranej kombinacji obciążeń SGU z uwzględnieniem stanu II, w tym usztywnienia przy rozciąganiu i skurczu, zmiany długości spowodowanej temperaturą, pełzaniem i skurczem,</w:t>
            </w:r>
          </w:p>
          <w:p w14:paraId="3A39A4DA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przeprowadzanie wszystkich weryfikacji na początku i na końcu faz pełzania wynikających z produkcji i stosowania lepiszcza. Współczynnik pełzania i skurcz muszą być szczegółowo określane i uwzględniane w </w:t>
            </w: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lastRenderedPageBreak/>
              <w:t>weryfikacji. Pozostałe naprężenie po odjęciu strat wynikających z pełzania, skurczu i relaksacji musi być brane pod uwagę jako naprężenie efektywne,</w:t>
            </w:r>
          </w:p>
          <w:p w14:paraId="50762399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szczegółowe przedstawienie wyników obliczeń statyczno-wytrzymałościowych analizowanych dźwigarów z pokazaniem tzw.</w:t>
            </w: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 xml:space="preserve"> „przekroju krytycznego” o najwyższym stopniu wykorzystania,</w:t>
            </w:r>
          </w:p>
          <w:p w14:paraId="5F408DB4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przedstawienie wyników obliczeń statyczno-wytrzymałościowych analizowanych dźwigarów </w:t>
            </w: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z pokazaniem stopnia wykorzystania odpowiedniej weryfikacji,</w:t>
            </w:r>
          </w:p>
          <w:p w14:paraId="4A892C86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g</w:t>
            </w: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raficzne przedstawienie przebiegu użytkowania w celu ułatwienia identyfikacji miejsca, w którym został przekroczony limit,</w:t>
            </w:r>
          </w:p>
          <w:p w14:paraId="0B7DED5F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wyświetlanie wyników obliczeń zarówno w reprezentacji graficznej oraz w postaci tabeli,</w:t>
            </w:r>
          </w:p>
          <w:p w14:paraId="7907FD12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 xml:space="preserve">szczegółowe przedstawienie każdego kroku obliczeniowego w celu </w:t>
            </w: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znalezienia przyczyn przekroczenia weryfikacji,</w:t>
            </w:r>
          </w:p>
          <w:p w14:paraId="42849825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ustawienia projektu przez użytkownika w celu kontrolowania uwzględnianych założeń obliczeniowych dopuszczalnych w indywidualnych przypadkach w zakresie: definicji niezależnych obciążeń zmiennych, kombinacji stałych obciążeń dla każdego przęsła oddzielnie, sprawdzenia ograniczenia </w:t>
            </w: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szerokości rozwarć rys bez minimalnego zbrojenia, definicji stopniowego przyłożenia siły naprężania wstępnego, definicji zredukowanych współczynników bezpieczeństwa materiału dla elementów prefabrykowanych, uwzględniania obróbki cieplnej na wykorzystanie zwiększonej wytrzymałości w momencie przyłożenia siły rozciągającej i zmniejszenie współczynników pełzania, wprowadzenia siły rozciągającej z możliwością uwzględnienia wyższego dopuszczalnego naprężenia ściskającego i zwiększonej wytrzymałość betonu na ściskanie, jeśli spełnione są odpowiednie warunki wstępne.</w:t>
            </w:r>
          </w:p>
          <w:p w14:paraId="73CD9FFA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-Bold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-Bold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B9+ Wspornik:</w:t>
            </w:r>
          </w:p>
          <w:p w14:paraId="327F202C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wymiarowanie wsporników z obciążeniami przykładanymi bezpośrednio z góry („wspornik obciążony bezpośrednio”),</w:t>
            </w:r>
          </w:p>
          <w:p w14:paraId="5202169E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zadawanie obciążenia bezpośredniego pionowego i/lub poziomego (</w:t>
            </w: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dodatkowo),</w:t>
            </w:r>
          </w:p>
          <w:p w14:paraId="352A950C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obliczenia wg norm: DIN EN 1992-1-1: 2012 + 2013 + 2015, ÖNORM EN 1992-1-1:2011 + 2018, BS EN 1992-1-1: 2015, EN 1992-1-1:2014,</w:t>
            </w:r>
          </w:p>
          <w:p w14:paraId="3DA4CB8B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obliczenia w zakresie: wymiarowania na ścinanie, </w:t>
            </w:r>
            <w:proofErr w:type="spellStart"/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naprężeń</w:t>
            </w:r>
            <w:proofErr w:type="spellEnd"/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 xml:space="preserve"> ściskających pod obciążeniem, wymaganego zbrojenia rozciąganego i zbrojenia wspornika, zakotwienia i długości zakładów zbrojenia, wartości sił przekrojowych,</w:t>
            </w:r>
          </w:p>
          <w:p w14:paraId="762179B2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wymiarowanie w oparciu o model prętowy z uwzględnieniem ustaleń zawartych w załącznikach krajowych,</w:t>
            </w:r>
          </w:p>
          <w:p w14:paraId="7D469892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autoSpaceDE w:val="0"/>
              <w:autoSpaceDN w:val="0"/>
              <w:adjustRightInd w:val="0"/>
              <w:ind w:left="267" w:hanging="267"/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 w:themeColor="text1"/>
                <w:kern w:val="0"/>
                <w:sz w:val="20"/>
                <w:szCs w:val="20"/>
                <w:lang w:eastAsia="en-US" w:bidi="ar-SA"/>
              </w:rPr>
              <w:t>automatyczne generowanie rysunków zbrojenia.</w:t>
            </w:r>
          </w:p>
          <w:p w14:paraId="1858236F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4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Calibri-Bold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-Bold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B10 Belka podcięta:</w:t>
            </w:r>
          </w:p>
          <w:p w14:paraId="08541FB0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267" w:hanging="267"/>
              <w:jc w:val="both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wymiarowanie belek podciętych w strefie podporowej m.in. dźwigarów prefabrykowanych w konstrukcji szkieletowej w których często konieczne jest wycięcie końców dźwigarów w strefie podparcia. Ponieważ zakotwienie nachylonego cięgna jest trudne ze względu na warunki geometryczne, zwykle wybiera się łączony model składający się z pionowego i skośnego zbrojenia,</w:t>
            </w:r>
          </w:p>
          <w:p w14:paraId="1E50458F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267" w:hanging="267"/>
              <w:jc w:val="both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obliczenia wg norm: DIN EN 1992-1-1: 2012/2013/2015, ÖNORM EN 1992-1-1:2011, BS EN 1992-1-1:2004/2009/2015, EN 1992-1-1:2010/2014, NTC EN 1992-1-1:2008/2018, opcjonalnie DIN 1045,</w:t>
            </w:r>
          </w:p>
          <w:p w14:paraId="08892F48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267" w:hanging="267"/>
              <w:jc w:val="both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 xml:space="preserve">obliczenia zgodne z </w:t>
            </w:r>
            <w:proofErr w:type="spellStart"/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DAfStb</w:t>
            </w:r>
            <w:proofErr w:type="spellEnd"/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 xml:space="preserve"> Zeszyt 399,</w:t>
            </w:r>
          </w:p>
          <w:p w14:paraId="11E796B4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267" w:hanging="267"/>
              <w:jc w:val="both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obliczenia złożonego schematu kratownicowego z prętami odgiętymi oraz wieszakami,</w:t>
            </w:r>
          </w:p>
          <w:p w14:paraId="7C8D3E0B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267" w:hanging="267"/>
              <w:jc w:val="both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zdefiniowanie nachylenia zbrojenia,</w:t>
            </w:r>
          </w:p>
          <w:p w14:paraId="51923736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267" w:hanging="267"/>
              <w:jc w:val="both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uwzględnienie przypodporowego obciążenia belki,</w:t>
            </w:r>
          </w:p>
          <w:p w14:paraId="715CFF56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267" w:hanging="267"/>
              <w:jc w:val="both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obliczenia MES w celu sprawdzenia nośności,</w:t>
            </w:r>
          </w:p>
          <w:p w14:paraId="17BC7597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267" w:hanging="267"/>
              <w:jc w:val="both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pokazanie na rysunku naprężenia głównego z modelowania MES,</w:t>
            </w:r>
          </w:p>
          <w:p w14:paraId="33F7D256" w14:textId="77777777" w:rsidR="00204786" w:rsidRDefault="00204786" w:rsidP="00204786">
            <w:pPr>
              <w:pStyle w:val="Akapitzlist"/>
              <w:widowControl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ind w:left="267" w:hanging="267"/>
              <w:jc w:val="both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  <w:t>zarówno obliczenia belki podciętej oraz przedstawienie rysunku zbrojenia.</w:t>
            </w:r>
          </w:p>
          <w:p w14:paraId="454CF4B9" w14:textId="77777777" w:rsidR="00204786" w:rsidRDefault="00204786" w:rsidP="0020478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entury Gothic" w:eastAsiaTheme="minorHAnsi" w:hAnsi="Century Gothic" w:cs="Calibr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345541FD" w14:textId="77777777" w:rsidR="00204786" w:rsidRDefault="00204786" w:rsidP="00204786">
            <w:pPr>
              <w:widowControl/>
              <w:suppressAutoHyphens w:val="0"/>
              <w:rPr>
                <w:rFonts w:ascii="Century Gothic" w:eastAsia="Times New Roman" w:hAnsi="Century Gothic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  <w:t xml:space="preserve">Licencja powinna umożliwiać korzystanie z oprogramowania bezterminowo. Dodatkowo Wykonawca zapewni możliwość wielokrotnej bezpłatnej aktualizacji oprogramowania do nowszych wersji oraz bezpłatne materiały szkoleniowe oraz bezpłatne wsparcie techniczne świadczone przez osoby posiadające wiedzę w zakresie oprogramowania stanowiącego przedmiot zamówienia przez okres minimum jednego roku – począwszy od dnia dostawy. </w:t>
            </w:r>
          </w:p>
          <w:p w14:paraId="45D14626" w14:textId="77777777" w:rsidR="00204786" w:rsidRDefault="00204786" w:rsidP="00204786">
            <w:pPr>
              <w:widowControl/>
              <w:suppressAutoHyphens w:val="0"/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</w:pPr>
          </w:p>
          <w:p w14:paraId="00F80C54" w14:textId="087D0556" w:rsidR="00204786" w:rsidRDefault="00204786" w:rsidP="00204786">
            <w:pP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  <w:t>Oprogramowanie zostanie dostarczone na nośniku CD lub DVD lub nośniku USB lub w postaci klucza licencyjnego tj. danych zapewniających pobranie oprogramowania ze strony internetowej wskazanej przez Wykonawcę.</w:t>
            </w:r>
          </w:p>
        </w:tc>
        <w:tc>
          <w:tcPr>
            <w:tcW w:w="1843" w:type="dxa"/>
          </w:tcPr>
          <w:p w14:paraId="3B7174D0" w14:textId="77777777" w:rsidR="00204786" w:rsidRPr="00B03689" w:rsidRDefault="00204786" w:rsidP="0020478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0A9B2CB4" w14:textId="77777777" w:rsidR="00204786" w:rsidRPr="00B03689" w:rsidRDefault="00204786" w:rsidP="0020478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E0EA065" w14:textId="77777777" w:rsidR="00204786" w:rsidRPr="00B03689" w:rsidRDefault="00204786" w:rsidP="0020478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46FDAE02" w14:textId="122C4CF0" w:rsidR="00204786" w:rsidRPr="00B03689" w:rsidRDefault="00204786" w:rsidP="00204786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77777777" w:rsidR="00F05C3E" w:rsidRPr="002879E3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1D11EF70" w14:textId="77777777" w:rsidR="00C84809" w:rsidRDefault="00C84809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541B6B56" w:rsidR="00797C07" w:rsidRDefault="00797C07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374792E5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204786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 w15:restartNumberingAfterBreak="0">
    <w:nsid w:val="39943113"/>
    <w:multiLevelType w:val="hybridMultilevel"/>
    <w:tmpl w:val="E3F02C3A"/>
    <w:lvl w:ilvl="0" w:tplc="20DC1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404DCB"/>
    <w:multiLevelType w:val="hybridMultilevel"/>
    <w:tmpl w:val="7A847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9DC078A"/>
    <w:multiLevelType w:val="hybridMultilevel"/>
    <w:tmpl w:val="AF028E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3684D70"/>
    <w:multiLevelType w:val="hybridMultilevel"/>
    <w:tmpl w:val="160A005A"/>
    <w:lvl w:ilvl="0" w:tplc="20DC1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3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5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6"/>
  </w:num>
  <w:num w:numId="2">
    <w:abstractNumId w:val="44"/>
  </w:num>
  <w:num w:numId="3">
    <w:abstractNumId w:val="42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39"/>
  </w:num>
  <w:num w:numId="9">
    <w:abstractNumId w:val="25"/>
  </w:num>
  <w:num w:numId="10">
    <w:abstractNumId w:val="38"/>
  </w:num>
  <w:num w:numId="11">
    <w:abstractNumId w:val="37"/>
  </w:num>
  <w:num w:numId="12">
    <w:abstractNumId w:val="1"/>
  </w:num>
  <w:num w:numId="13">
    <w:abstractNumId w:val="19"/>
  </w:num>
  <w:num w:numId="14">
    <w:abstractNumId w:val="8"/>
  </w:num>
  <w:num w:numId="15">
    <w:abstractNumId w:val="2"/>
  </w:num>
  <w:num w:numId="16">
    <w:abstractNumId w:val="40"/>
  </w:num>
  <w:num w:numId="17">
    <w:abstractNumId w:val="28"/>
  </w:num>
  <w:num w:numId="18">
    <w:abstractNumId w:val="15"/>
  </w:num>
  <w:num w:numId="19">
    <w:abstractNumId w:val="11"/>
  </w:num>
  <w:num w:numId="20">
    <w:abstractNumId w:val="22"/>
  </w:num>
  <w:num w:numId="21">
    <w:abstractNumId w:val="29"/>
  </w:num>
  <w:num w:numId="22">
    <w:abstractNumId w:val="31"/>
  </w:num>
  <w:num w:numId="23">
    <w:abstractNumId w:val="18"/>
  </w:num>
  <w:num w:numId="24">
    <w:abstractNumId w:val="20"/>
  </w:num>
  <w:num w:numId="25">
    <w:abstractNumId w:val="27"/>
  </w:num>
  <w:num w:numId="26">
    <w:abstractNumId w:val="3"/>
  </w:num>
  <w:num w:numId="27">
    <w:abstractNumId w:val="24"/>
  </w:num>
  <w:num w:numId="28">
    <w:abstractNumId w:val="36"/>
  </w:num>
  <w:num w:numId="29">
    <w:abstractNumId w:val="21"/>
  </w:num>
  <w:num w:numId="30">
    <w:abstractNumId w:val="6"/>
  </w:num>
  <w:num w:numId="31">
    <w:abstractNumId w:val="14"/>
  </w:num>
  <w:num w:numId="32">
    <w:abstractNumId w:val="33"/>
  </w:num>
  <w:num w:numId="33">
    <w:abstractNumId w:val="34"/>
  </w:num>
  <w:num w:numId="34">
    <w:abstractNumId w:val="45"/>
  </w:num>
  <w:num w:numId="35">
    <w:abstractNumId w:val="16"/>
  </w:num>
  <w:num w:numId="36">
    <w:abstractNumId w:val="10"/>
  </w:num>
  <w:num w:numId="37">
    <w:abstractNumId w:val="35"/>
  </w:num>
  <w:num w:numId="38">
    <w:abstractNumId w:val="12"/>
  </w:num>
  <w:num w:numId="39">
    <w:abstractNumId w:val="41"/>
  </w:num>
  <w:num w:numId="40">
    <w:abstractNumId w:val="0"/>
  </w:num>
  <w:num w:numId="41">
    <w:abstractNumId w:val="5"/>
  </w:num>
  <w:num w:numId="42">
    <w:abstractNumId w:val="43"/>
  </w:num>
  <w:num w:numId="43">
    <w:abstractNumId w:val="23"/>
  </w:num>
  <w:num w:numId="44">
    <w:abstractNumId w:val="30"/>
  </w:num>
  <w:num w:numId="45">
    <w:abstractNumId w:val="17"/>
  </w:num>
  <w:num w:numId="46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04786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4809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Default">
    <w:name w:val="Default"/>
    <w:rsid w:val="0020478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1927</Words>
  <Characters>11567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10</cp:revision>
  <cp:lastPrinted>2019-05-23T06:10:00Z</cp:lastPrinted>
  <dcterms:created xsi:type="dcterms:W3CDTF">2020-03-21T08:39:00Z</dcterms:created>
  <dcterms:modified xsi:type="dcterms:W3CDTF">2022-02-21T08:48:00Z</dcterms:modified>
</cp:coreProperties>
</file>