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370BE4BA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CB448F">
        <w:rPr>
          <w:rFonts w:ascii="Century Gothic" w:hAnsi="Century Gothic" w:cs="Times New Roman"/>
          <w:b/>
          <w:bCs/>
          <w:sz w:val="28"/>
          <w:szCs w:val="28"/>
        </w:rPr>
        <w:t>sprzętu do fizjoterapii</w:t>
      </w:r>
    </w:p>
    <w:p w14:paraId="70E8B4FA" w14:textId="7563693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sprzętów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037B2FA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837FF2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sprzętów do fizjoterapii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CB448F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CB448F" w:rsidRPr="00B03689" w14:paraId="75F4C767" w14:textId="77777777" w:rsidTr="00CB448F">
        <w:trPr>
          <w:trHeight w:val="1359"/>
        </w:trPr>
        <w:tc>
          <w:tcPr>
            <w:tcW w:w="956" w:type="dxa"/>
          </w:tcPr>
          <w:p w14:paraId="7B6B1C5D" w14:textId="0AE09472" w:rsidR="00CB448F" w:rsidRPr="00B03689" w:rsidRDefault="00CB448F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31B" w14:textId="569310EE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Aparat pola elektromagnetycznego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– 1 zestaw</w:t>
            </w:r>
          </w:p>
          <w:p w14:paraId="07D1E9CE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>Urządzenie wykorzystujące pole elektromagnetyczne o wysokiej intensywności</w:t>
            </w:r>
          </w:p>
          <w:p w14:paraId="1B0349E5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Stymulowanie mięśni, mobilizacja stawów i przyśpieszenie gojenia złamań </w:t>
            </w:r>
          </w:p>
          <w:p w14:paraId="6836A9A9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Aplikator koncentrujący w wyposażeniu standardowym </w:t>
            </w:r>
          </w:p>
          <w:p w14:paraId="14179F93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US"/>
              </w:rPr>
              <w:t>Dane techniczne:</w:t>
            </w:r>
          </w:p>
          <w:p w14:paraId="69518272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Indukcja magnetyczna 2,5 tesli</w:t>
            </w:r>
          </w:p>
          <w:p w14:paraId="77064A85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Częstotliwość magnetyczna 1-150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Hz</w:t>
            </w:r>
            <w:proofErr w:type="spellEnd"/>
          </w:p>
          <w:p w14:paraId="4765BADD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Maksymalna intensywność stymulacji 28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kT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/s</w:t>
            </w:r>
          </w:p>
          <w:p w14:paraId="24BE9584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Czas trwania impulsu 0,01-60 [s]</w:t>
            </w:r>
          </w:p>
          <w:p w14:paraId="3E7AABA4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Czas zabiegu 1-60 min</w:t>
            </w:r>
          </w:p>
          <w:p w14:paraId="03177F62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Wybór kształtu impulsu </w:t>
            </w:r>
          </w:p>
          <w:p w14:paraId="377E8D0C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Edycja gotowych programów terapeutycznych </w:t>
            </w:r>
          </w:p>
          <w:p w14:paraId="0CF5D2EA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Gotowe programy terapeutyczne, 55 programów</w:t>
            </w:r>
          </w:p>
          <w:p w14:paraId="4DA92569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Tryb automatyczny i ręczny </w:t>
            </w:r>
          </w:p>
          <w:p w14:paraId="6D0D1524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Wyposażenie standardowe: jednostka główna, ramię, aplikator </w:t>
            </w:r>
          </w:p>
          <w:p w14:paraId="29F10AC7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Ekran LCD 8,4” kolorowy ekran dotykowy</w:t>
            </w:r>
          </w:p>
          <w:p w14:paraId="1F374225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Nawigacyjny atlas anatomiczny</w:t>
            </w:r>
          </w:p>
          <w:p w14:paraId="25F154B8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Baza danych pacjentów </w:t>
            </w:r>
          </w:p>
          <w:p w14:paraId="364BD110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Programy użytkownika </w:t>
            </w:r>
          </w:p>
          <w:p w14:paraId="15A031D3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Wskaźnik intensywności pola magnetycznego </w:t>
            </w:r>
          </w:p>
          <w:p w14:paraId="3DA42B6B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Wskaźnik czasu trwania zabiegu</w:t>
            </w:r>
          </w:p>
          <w:p w14:paraId="5E227173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Wskaźnik przegrzania przetwornika</w:t>
            </w:r>
          </w:p>
          <w:p w14:paraId="6A6730DA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Przycisk bezpieczeństwa </w:t>
            </w:r>
          </w:p>
          <w:p w14:paraId="13CA0080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Długość ramienia 103 cm ( z aplikatorem)</w:t>
            </w:r>
          </w:p>
          <w:p w14:paraId="4781F828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Aplikator chłodzony powietrzem za pomocą wentylatora, który wbudowany jest w cewce  </w:t>
            </w:r>
          </w:p>
          <w:p w14:paraId="6019DF36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Wymiary 500 x 970 x 580 mm (20 x 38 x 23 in)</w:t>
            </w:r>
          </w:p>
          <w:p w14:paraId="5B94FBCC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Waga 33 kg</w:t>
            </w:r>
          </w:p>
          <w:p w14:paraId="7D8CB180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Zasilanie 100 V - 240 V , 50-60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Hz</w:t>
            </w:r>
            <w:proofErr w:type="spellEnd"/>
          </w:p>
          <w:p w14:paraId="19826706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Temperatura pracy -10do +55 °C</w:t>
            </w:r>
          </w:p>
          <w:p w14:paraId="3AB71DD5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Wilgotność dopuszczalna &lt;85 %</w:t>
            </w:r>
          </w:p>
          <w:p w14:paraId="1E004741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Autoryzacja producenta TAK</w:t>
            </w:r>
          </w:p>
          <w:p w14:paraId="0BBA380C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Przeszkolenie personelu medycznego i technicznego</w:t>
            </w:r>
          </w:p>
          <w:p w14:paraId="0204D704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Obsługa aparatu oraz instrukcja w języku polskim</w:t>
            </w:r>
          </w:p>
          <w:p w14:paraId="0EB95FD7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Stolik zintegrowany z aparatem tworzący całość urządzenia</w:t>
            </w:r>
          </w:p>
          <w:p w14:paraId="789E7519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Certyfikat CE, Deklaracja zgodności z CE </w:t>
            </w:r>
          </w:p>
          <w:p w14:paraId="71FF478D" w14:textId="77777777" w:rsidR="00CB448F" w:rsidRDefault="00CB448F" w:rsidP="00CB448F">
            <w:pPr>
              <w:pStyle w:val="gwp8d5a8238gwpa93b7cbcmsonormal"/>
              <w:numPr>
                <w:ilvl w:val="0"/>
                <w:numId w:val="43"/>
              </w:numPr>
              <w:spacing w:before="0" w:beforeAutospacing="0" w:after="0" w:afterAutospacing="0" w:line="256" w:lineRule="auto"/>
              <w:rPr>
                <w:rFonts w:ascii="Century Gothic" w:hAnsi="Century Gothic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 xml:space="preserve">Cena obejmuje: aplikator koncentrujący, ramię aplikatora. </w:t>
            </w:r>
          </w:p>
          <w:p w14:paraId="572C1278" w14:textId="6968D5A5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US"/>
              </w:rPr>
              <w:t xml:space="preserve">Gwarancja: 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>12 miesięcy</w:t>
            </w:r>
          </w:p>
        </w:tc>
        <w:tc>
          <w:tcPr>
            <w:tcW w:w="1843" w:type="dxa"/>
          </w:tcPr>
          <w:p w14:paraId="6CDB0946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CB448F" w:rsidRPr="00B03689" w14:paraId="72959B35" w14:textId="77777777" w:rsidTr="00CB448F">
        <w:trPr>
          <w:trHeight w:val="1359"/>
        </w:trPr>
        <w:tc>
          <w:tcPr>
            <w:tcW w:w="956" w:type="dxa"/>
          </w:tcPr>
          <w:p w14:paraId="042FD07E" w14:textId="34E7FD97" w:rsidR="00CB448F" w:rsidRPr="00B03689" w:rsidRDefault="00CB448F" w:rsidP="00CB448F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CB448F" w14:paraId="227AC891" w14:textId="77777777">
              <w:trPr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75D90AA8" w14:textId="77777777" w:rsidR="00CB448F" w:rsidRDefault="00CB448F" w:rsidP="00CB448F">
                  <w:pPr>
                    <w:rPr>
                      <w:rFonts w:ascii="Century Gothic" w:hAnsi="Century Gothic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CB448F" w14:paraId="068F7E76" w14:textId="77777777">
              <w:trPr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14:paraId="5B6D2E21" w14:textId="77777777" w:rsidR="00CB448F" w:rsidRDefault="00CB448F" w:rsidP="00CB448F">
                  <w:pPr>
                    <w:widowControl/>
                    <w:suppressAutoHyphens w:val="0"/>
                    <w:spacing w:after="160" w:line="256" w:lineRule="auto"/>
                    <w:rPr>
                      <w:rFonts w:asciiTheme="minorHAnsi" w:eastAsiaTheme="minorHAnsi" w:hAnsiTheme="minorHAnsi" w:cstheme="minorBidi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14:paraId="49F31982" w14:textId="2D531EC8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Aparat do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kompresoterapii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 – 1 zestaw</w:t>
            </w:r>
          </w:p>
          <w:p w14:paraId="0E266340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Aparat do masażu uciskowego </w:t>
            </w:r>
          </w:p>
          <w:p w14:paraId="71BA4B9D" w14:textId="77777777" w:rsidR="00CB448F" w:rsidRDefault="00CB448F" w:rsidP="00CB448F">
            <w:pPr>
              <w:pStyle w:val="gwp8d5a8238gwpa93b7cbcmsonormal"/>
              <w:spacing w:before="0" w:beforeAutospacing="0" w:after="0" w:afterAutospacing="0" w:line="256" w:lineRule="auto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eastAsia="en-US"/>
              </w:rPr>
              <w:t>Dane techniczne:</w:t>
            </w:r>
          </w:p>
          <w:p w14:paraId="12F3BD2D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12-kanałowy aparat do masażu uciskowego</w:t>
            </w:r>
          </w:p>
          <w:p w14:paraId="2BAD13A2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Kolorowy ekran dotykowy 5,7’’</w:t>
            </w:r>
          </w:p>
          <w:p w14:paraId="29D6EEBE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Encyklopedia z gotowymi protokołami zabiegowymi</w:t>
            </w:r>
          </w:p>
          <w:p w14:paraId="3591AE0A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26 protokołów klinicznych (programy w sekwencjach)</w:t>
            </w:r>
          </w:p>
          <w:p w14:paraId="30CE8642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Gotowe sekwencje programów zabiegowych ( 15 )</w:t>
            </w:r>
          </w:p>
          <w:p w14:paraId="7E015688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500 programów zdefiniowanych dla użytkownika</w:t>
            </w:r>
          </w:p>
          <w:p w14:paraId="1461A754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Gradient 0-100 % z płynną regulacją</w:t>
            </w:r>
          </w:p>
          <w:p w14:paraId="015D082D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Zakres regulacji ciśnienia 20-160 mmHg</w:t>
            </w:r>
          </w:p>
          <w:p w14:paraId="690F64D6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lastRenderedPageBreak/>
              <w:t>Niezależna regulacja ciśnienia dla każdej komory</w:t>
            </w:r>
          </w:p>
          <w:p w14:paraId="0E9C5251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Zaawansowane ustawienia parametrów indywidualnych terapii</w:t>
            </w:r>
          </w:p>
          <w:p w14:paraId="1E0EB3F0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Cicha i niezawodna praca kompresora</w:t>
            </w:r>
          </w:p>
          <w:p w14:paraId="3519AEBE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Parametry aktywności komór aplikatora widoczne na ekranie</w:t>
            </w:r>
          </w:p>
          <w:p w14:paraId="35517D79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Mankiet kończyn górnych 8-komorowy 1 szt.</w:t>
            </w:r>
            <w:r>
              <w:rPr>
                <w:rFonts w:ascii="Century Gothic" w:hAnsi="Century Gothic" w:cs="Calibri"/>
                <w:color w:val="FF0000"/>
                <w:sz w:val="20"/>
                <w:szCs w:val="20"/>
              </w:rPr>
              <w:t xml:space="preserve"> </w:t>
            </w:r>
          </w:p>
          <w:p w14:paraId="12476B9E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Spodnie 24-komorowe ( 2x10 komór nogawki spodni plus 2 komory na pasie spodni )</w:t>
            </w:r>
          </w:p>
          <w:p w14:paraId="58F84C03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Automatyczna identyfikacja aplikatorów</w:t>
            </w:r>
          </w:p>
          <w:p w14:paraId="4888F119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Automatyczne opróżnianie aplikatora po zakończonym zabiegu</w:t>
            </w:r>
          </w:p>
          <w:p w14:paraId="48961609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Złącze ułatwiające szybką wymianę aplikatora</w:t>
            </w:r>
          </w:p>
          <w:p w14:paraId="40D83BD3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Elektroniczny system kontroli ucisku</w:t>
            </w:r>
          </w:p>
          <w:p w14:paraId="427BDE5A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Wymiary 320 x 190 x 280 mm</w:t>
            </w:r>
          </w:p>
          <w:p w14:paraId="250DEE3A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Waga 7,5 kg</w:t>
            </w:r>
          </w:p>
          <w:p w14:paraId="2278DE25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 xml:space="preserve">Zasilanie 100-240 V, 50-60 </w:t>
            </w:r>
            <w:proofErr w:type="spellStart"/>
            <w:r>
              <w:rPr>
                <w:rFonts w:ascii="Century Gothic" w:hAnsi="Century Gothic" w:cs="Calibri"/>
                <w:sz w:val="20"/>
                <w:szCs w:val="20"/>
              </w:rPr>
              <w:t>Hz</w:t>
            </w:r>
            <w:proofErr w:type="spellEnd"/>
          </w:p>
          <w:p w14:paraId="11EEF854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Oryginalny stolik producenta aparatu wyposażony w kabel zasilający, uchwyt na zasilacz do aparatu oraz 4 kółka jezdne, 2 kółka wyposażone w hamulce oraz 5 zamykanych schowków</w:t>
            </w:r>
          </w:p>
          <w:p w14:paraId="17B95B8D" w14:textId="77777777" w:rsidR="00CB448F" w:rsidRDefault="00CB448F" w:rsidP="00CB448F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spacing w:line="256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Mankiety foliowe 100 szt.</w:t>
            </w:r>
          </w:p>
          <w:p w14:paraId="395E3236" w14:textId="3CF9EA11" w:rsidR="00CB448F" w:rsidRDefault="00CB448F" w:rsidP="00CB448F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rebuchet MS" w:hAnsi="Century Gothic" w:cs="Times New Roman"/>
                <w:b/>
                <w:bCs/>
                <w:color w:val="000000" w:themeColor="text1"/>
                <w:sz w:val="20"/>
                <w:szCs w:val="20"/>
              </w:rPr>
              <w:t xml:space="preserve">Gwarancja: </w:t>
            </w:r>
            <w:r>
              <w:rPr>
                <w:rFonts w:ascii="Century Gothic" w:eastAsia="Trebuchet MS" w:hAnsi="Century Gothic" w:cs="Times New Roman"/>
                <w:color w:val="000000" w:themeColor="text1"/>
                <w:sz w:val="20"/>
                <w:szCs w:val="20"/>
              </w:rPr>
              <w:t>12-miesięcy</w:t>
            </w:r>
          </w:p>
        </w:tc>
        <w:tc>
          <w:tcPr>
            <w:tcW w:w="1843" w:type="dxa"/>
          </w:tcPr>
          <w:p w14:paraId="30512AEF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4E8EA44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6700B91" w14:textId="77777777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DB9238C" w14:textId="7378A3D9" w:rsidR="00CB448F" w:rsidRPr="00B03689" w:rsidRDefault="00CB448F" w:rsidP="00CB448F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62FD6648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2E49C09C" w14:textId="5E6EDC17" w:rsidR="00CB448F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DFE39C4" w14:textId="77777777" w:rsidR="00CB448F" w:rsidRPr="002879E3" w:rsidRDefault="00CB448F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1C281370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CB448F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07266"/>
    <w:multiLevelType w:val="hybridMultilevel"/>
    <w:tmpl w:val="B776A21E"/>
    <w:lvl w:ilvl="0" w:tplc="D82A7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935A0"/>
    <w:multiLevelType w:val="hybridMultilevel"/>
    <w:tmpl w:val="0012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8F1D6">
      <w:start w:val="12"/>
      <w:numFmt w:val="bullet"/>
      <w:lvlText w:val="•"/>
      <w:lvlJc w:val="left"/>
      <w:pPr>
        <w:ind w:left="1440" w:hanging="360"/>
      </w:pPr>
      <w:rPr>
        <w:rFonts w:ascii="Century Gothic" w:eastAsia="SimSun" w:hAnsi="Century Gothic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3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42"/>
  </w:num>
  <w:num w:numId="3">
    <w:abstractNumId w:val="39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36"/>
  </w:num>
  <w:num w:numId="9">
    <w:abstractNumId w:val="23"/>
  </w:num>
  <w:num w:numId="10">
    <w:abstractNumId w:val="35"/>
  </w:num>
  <w:num w:numId="11">
    <w:abstractNumId w:val="34"/>
  </w:num>
  <w:num w:numId="12">
    <w:abstractNumId w:val="1"/>
  </w:num>
  <w:num w:numId="13">
    <w:abstractNumId w:val="18"/>
  </w:num>
  <w:num w:numId="14">
    <w:abstractNumId w:val="8"/>
  </w:num>
  <w:num w:numId="15">
    <w:abstractNumId w:val="2"/>
  </w:num>
  <w:num w:numId="16">
    <w:abstractNumId w:val="37"/>
  </w:num>
  <w:num w:numId="17">
    <w:abstractNumId w:val="26"/>
  </w:num>
  <w:num w:numId="18">
    <w:abstractNumId w:val="15"/>
  </w:num>
  <w:num w:numId="19">
    <w:abstractNumId w:val="11"/>
  </w:num>
  <w:num w:numId="20">
    <w:abstractNumId w:val="21"/>
  </w:num>
  <w:num w:numId="21">
    <w:abstractNumId w:val="28"/>
  </w:num>
  <w:num w:numId="22">
    <w:abstractNumId w:val="29"/>
  </w:num>
  <w:num w:numId="23">
    <w:abstractNumId w:val="17"/>
  </w:num>
  <w:num w:numId="24">
    <w:abstractNumId w:val="19"/>
  </w:num>
  <w:num w:numId="25">
    <w:abstractNumId w:val="25"/>
  </w:num>
  <w:num w:numId="26">
    <w:abstractNumId w:val="3"/>
  </w:num>
  <w:num w:numId="27">
    <w:abstractNumId w:val="22"/>
  </w:num>
  <w:num w:numId="28">
    <w:abstractNumId w:val="33"/>
  </w:num>
  <w:num w:numId="29">
    <w:abstractNumId w:val="20"/>
  </w:num>
  <w:num w:numId="30">
    <w:abstractNumId w:val="6"/>
  </w:num>
  <w:num w:numId="31">
    <w:abstractNumId w:val="14"/>
  </w:num>
  <w:num w:numId="32">
    <w:abstractNumId w:val="30"/>
  </w:num>
  <w:num w:numId="33">
    <w:abstractNumId w:val="31"/>
  </w:num>
  <w:num w:numId="34">
    <w:abstractNumId w:val="43"/>
  </w:num>
  <w:num w:numId="35">
    <w:abstractNumId w:val="16"/>
  </w:num>
  <w:num w:numId="36">
    <w:abstractNumId w:val="10"/>
  </w:num>
  <w:num w:numId="37">
    <w:abstractNumId w:val="32"/>
  </w:num>
  <w:num w:numId="38">
    <w:abstractNumId w:val="12"/>
  </w:num>
  <w:num w:numId="39">
    <w:abstractNumId w:val="38"/>
  </w:num>
  <w:num w:numId="40">
    <w:abstractNumId w:val="0"/>
  </w:num>
  <w:num w:numId="41">
    <w:abstractNumId w:val="5"/>
  </w:num>
  <w:num w:numId="42">
    <w:abstractNumId w:val="40"/>
  </w:num>
  <w:num w:numId="4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37FF2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48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CB448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2020-03-21T08:39:00Z</dcterms:created>
  <dcterms:modified xsi:type="dcterms:W3CDTF">2022-01-19T11:46:00Z</dcterms:modified>
</cp:coreProperties>
</file>